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99" w:rsidRPr="00DF327C" w:rsidRDefault="00D56999" w:rsidP="00D56999">
      <w:pPr>
        <w:keepNext/>
        <w:keepLines/>
        <w:spacing w:before="480" w:after="0"/>
        <w:jc w:val="both"/>
        <w:outlineLvl w:val="0"/>
        <w:rPr>
          <w:rFonts w:eastAsiaTheme="majorEastAsia" w:cs="Times New Roman"/>
          <w:b/>
          <w:bCs/>
          <w:sz w:val="32"/>
          <w:szCs w:val="28"/>
          <w:u w:val="single"/>
          <w:lang w:eastAsia="cs-CZ"/>
        </w:rPr>
      </w:pPr>
      <w:bookmarkStart w:id="0" w:name="_Toc31366935"/>
      <w:r w:rsidRPr="00DF327C">
        <w:rPr>
          <w:rFonts w:eastAsiaTheme="majorEastAsia" w:cs="Times New Roman"/>
          <w:b/>
          <w:bCs/>
          <w:sz w:val="32"/>
          <w:szCs w:val="28"/>
          <w:u w:val="single"/>
          <w:lang w:eastAsia="cs-CZ"/>
        </w:rPr>
        <w:t>Řešení záškoláctví</w:t>
      </w:r>
      <w:bookmarkEnd w:id="0"/>
      <w:r w:rsidRPr="00DF327C">
        <w:rPr>
          <w:rFonts w:eastAsiaTheme="majorEastAsia" w:cs="Times New Roman"/>
          <w:b/>
          <w:bCs/>
          <w:sz w:val="32"/>
          <w:szCs w:val="28"/>
          <w:u w:val="single"/>
          <w:lang w:eastAsia="cs-CZ"/>
        </w:rPr>
        <w:t xml:space="preserve"> </w:t>
      </w:r>
    </w:p>
    <w:p w:rsidR="00D56999" w:rsidRPr="00D56999" w:rsidRDefault="00D56999" w:rsidP="00D56999">
      <w:pPr>
        <w:rPr>
          <w:rFonts w:eastAsiaTheme="minorEastAsia" w:cs="Times New Roman"/>
          <w:lang w:eastAsia="cs-CZ"/>
        </w:rPr>
      </w:pPr>
    </w:p>
    <w:p w:rsidR="00D56999" w:rsidRPr="00DF327C" w:rsidRDefault="00D56999" w:rsidP="00D569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 w:cs="Times New Roman"/>
          <w:sz w:val="28"/>
          <w:lang w:eastAsia="cs-CZ"/>
        </w:rPr>
      </w:pPr>
      <w:r w:rsidRPr="00DF327C">
        <w:rPr>
          <w:rFonts w:eastAsiaTheme="minorEastAsia" w:cs="Times New Roman"/>
          <w:sz w:val="28"/>
          <w:lang w:eastAsia="cs-CZ"/>
        </w:rPr>
        <w:t>Velmi podstatné pro řešení záškoláctví, je nejprve důkladné zjištění příčin, což je především úkol rodičů, ale i učitelů, vychovatelů nebo jiných pedagogických pracovníků či psychologů. Příčiny záškoláctví mohou být různé a od nich se pak odvíjí i možná řešení. Aby opatření byla co nejvíce efektivní, je třeba také porozumět individualitě žáka, navázat úzkou spolupráci rodičů, školy a případně dalších zainteresovaných institucí nebo konkrétních odborných pracovníků z řad pedagogů, psychologů, etopedů nebo kurátorů pro mládež. Důležité a velmi podstatné je rovněž včasné zjištění záškoláctví. Univerzální řešení neexistuje, ale určitý rámec a závazné doporučení řešení a postupů je zaneseno v právních předpisech, kdy stěžejním dokumentem je Metodický pokyn MŠMT k jednotnému postupu při uvolňování a omlouvání žáků z vyučování, prevenci a postihu záškoláctví, č. j. 10 194/2002-14.</w:t>
      </w:r>
    </w:p>
    <w:p w:rsidR="00D56999" w:rsidRDefault="00D56999" w:rsidP="00D569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 w:cs="Times New Roman"/>
          <w:sz w:val="28"/>
          <w:lang w:eastAsia="cs-CZ"/>
        </w:rPr>
      </w:pPr>
      <w:r w:rsidRPr="00DF327C">
        <w:rPr>
          <w:rFonts w:eastAsiaTheme="minorEastAsia" w:cs="Times New Roman"/>
          <w:sz w:val="28"/>
          <w:lang w:eastAsia="cs-CZ"/>
        </w:rPr>
        <w:t xml:space="preserve">Základní školy jsou při řešení neomluvené nepřítomnosti žáka ve škole vázány zmiňovaným Metodickým pokynem k řešení záškoláctví, který velmi podrobně a srozumitelně školám předkládá návod, jak postupovat. V případě, kdy žák řádně neplní povinnou školní docházku, může mu být uloženo výchovné opatření dle § 31 školského zákona. Žákovi, který poruší povinnosti stanovené mu školním řádem, může být uloženo napomenutí třídního učitele, důtka třídního učitele či důtka ředitele školy. Uložení některého z těchto výchovných opatření se oznamuje písemně zákonnému zástupci žáka a zaznamenává se do dokumentace školy. V případě, že je opatření nedostačující, může následovat snížený stupeň z chování.  </w:t>
      </w:r>
    </w:p>
    <w:p w:rsidR="00DF327C" w:rsidRPr="00DF327C" w:rsidRDefault="00DF327C" w:rsidP="00D569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 w:cs="Times New Roman"/>
          <w:sz w:val="28"/>
          <w:lang w:eastAsia="cs-CZ"/>
        </w:rPr>
      </w:pPr>
    </w:p>
    <w:p w:rsidR="00D56999" w:rsidRPr="00DF327C" w:rsidRDefault="00D56999" w:rsidP="00D569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 w:cs="Times New Roman"/>
          <w:sz w:val="28"/>
          <w:lang w:eastAsia="cs-CZ"/>
        </w:rPr>
      </w:pPr>
      <w:r w:rsidRPr="00DF327C">
        <w:rPr>
          <w:rFonts w:eastAsiaTheme="minorEastAsia" w:cs="Times New Roman"/>
          <w:sz w:val="28"/>
          <w:lang w:eastAsia="cs-CZ"/>
        </w:rPr>
        <w:lastRenderedPageBreak/>
        <w:t xml:space="preserve">Ředitel školy může požádat při řešení záškoláctví o spolupráci odborníky pedagogicko-psychologického poradenství, kteří mohou být přizvání ke společnému řešení v rámci školy ve výchovné komisi. Spolupráce školy a této instituce je rovněž součástí Metodického pokynu k řešení záškoláctví. </w:t>
      </w:r>
    </w:p>
    <w:p w:rsidR="00D56999" w:rsidRPr="00DF327C" w:rsidRDefault="00D56999" w:rsidP="00D569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 w:cs="Times New Roman"/>
          <w:sz w:val="28"/>
          <w:lang w:eastAsia="cs-CZ"/>
        </w:rPr>
      </w:pPr>
      <w:r w:rsidRPr="00DF327C">
        <w:rPr>
          <w:rFonts w:eastAsiaTheme="minorEastAsia" w:cs="Times New Roman"/>
          <w:sz w:val="28"/>
          <w:lang w:eastAsia="cs-CZ"/>
        </w:rPr>
        <w:t xml:space="preserve">Záškoláctví se věnuje též zákon č. 359/1999 Sb., o sociálně-právní ochraně dětí, ve znění pozdějších předpisů. Sociálně-právní ochrana dětí je ochrana práv žáka na jeho příznivý vývoj a řádnou výchovu. Je zaměřena na žáky, kteří vedou zahálčivý nebo nemravný způsob života, zanedbávají školní docházku nebo se opakovaně dopouštějí útěků a také na rodiče žáků, kteří neplní povinnosti plynoucí z rodičovské odpovědnosti, případně jich zneužívají. Všechny instituce jako školy, zdravotnická zařízení a lékaři, jsou povinni ohlašovat orgánu sociálně-právní ochrany dětí skutečnosti, které jsou v rozporu se zájmy žáků. Obecní úřad má také sledovat, zda je zamezováno přístupu žáků do prostředí, které je pro jejich vývoj a výchovu ohrožující a má poskytnout nebo zprostředkovat rodičům na jejich žádost poradenství. Rodičům může uložit povinnost využít odbornou pomoc.  </w:t>
      </w:r>
    </w:p>
    <w:p w:rsidR="00D56999" w:rsidRPr="00DF327C" w:rsidRDefault="00D56999" w:rsidP="00D569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 w:cs="Times New Roman"/>
          <w:sz w:val="28"/>
          <w:lang w:eastAsia="cs-CZ"/>
        </w:rPr>
      </w:pPr>
      <w:r w:rsidRPr="00DF327C">
        <w:rPr>
          <w:rFonts w:eastAsiaTheme="minorEastAsia" w:cs="Times New Roman"/>
          <w:sz w:val="28"/>
          <w:lang w:eastAsia="cs-CZ"/>
        </w:rPr>
        <w:t xml:space="preserve">Podle zákona č. 94/1963 Sb., o rodině, ve znění pozdějších předpisů, mohou být uložena soudem opatření v zájmu řádné výchovy dítěte - žáka. Soud může napomenout nezletilého, jeho rodiče a osoby, které narušují jeho řádnou výchovu, stanovit nad nezletilým žákem dohled a provádět jej ve spolupráci se školou nebo dalšími institucemi, uložit žákovi omezení, která brání působení škodlivým vlivům na jeho výchovu. Jestliže je i nadále výchova žáka vážně ohrožena nebo narušena a jiná výchovná opatření nevedou k nápravě nebo rodiče nejsou schopni výchovu zabezpečit, může soud přistoupit k řešení situace v podobě nařízení ústavní výchovy. Pokud je to v zájmu nezletilého žáka, může tak soud učinit i v případě, že jiná výchovná opatření </w:t>
      </w:r>
      <w:r w:rsidRPr="00DF327C">
        <w:rPr>
          <w:rFonts w:eastAsiaTheme="minorEastAsia" w:cs="Times New Roman"/>
          <w:sz w:val="28"/>
          <w:lang w:eastAsia="cs-CZ"/>
        </w:rPr>
        <w:lastRenderedPageBreak/>
        <w:t xml:space="preserve">nepředcházela. </w:t>
      </w:r>
    </w:p>
    <w:p w:rsidR="00D56999" w:rsidRPr="00DF327C" w:rsidRDefault="00D56999" w:rsidP="00D569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 w:cs="Times New Roman"/>
          <w:sz w:val="28"/>
          <w:lang w:eastAsia="cs-CZ"/>
        </w:rPr>
      </w:pPr>
      <w:r w:rsidRPr="00DF327C">
        <w:rPr>
          <w:rFonts w:eastAsiaTheme="minorEastAsia" w:cs="Times New Roman"/>
          <w:sz w:val="28"/>
          <w:lang w:eastAsia="cs-CZ"/>
        </w:rPr>
        <w:t xml:space="preserve">Záškoláctví je řešeno také správním právem v zákoně č. 200/1990 Sb., o přestupcích, ve znění pozdějších předpisů. Konkrétně se jedná o § 28 Přestupky na úseku práce a sociálních věcí a dále především § 31 Přestupky na úseku školství a výchovy mládeže, kdy se přestupku dopustí ten, kdo ohrožuje výchovu a vzdělávání nezletilého tím, že nepřihlásí nezletilého k povinné školní docházce nebo zanedbává péči o jeho povinnou školní docházku. Za tento přestupek lze uložit pokutu do výše 3.000,- Kč a nutnost uhradit náklady přestupkového řízení. V případě viny pak následují další omezení v návaznosti na zákon č. 111/2006 Sb., o pomoci v hmotné nouzi, ve znění pozdějších předpisů.  Zde se za osobu v hmotné nouzi nepovažuje rodič, který neplní povinnosti zákonného zástupce nezaopatřeného žáka spojené s řádným plněním povinné školní docházky. V případě pravomocného rozhodnutí o vině v přestupkovém řízení, není osoba považována za osobu v hmotné nouzi, a to po dobu 3 měsíců ode dne nabytí právní moci tohoto rozhodnutí. Osobě, která dosud dávky sociální péče pobírala, bude sociální dávka odejmuta nebo nebude v rámci nové žádosti dávka přiznána. V praxi je tato sankce v podobě znemožnění pobírat dávky sociální péče mnohdy v rámci prevence záškoláctví účinnější, než přísnější opatření v podobě trestního stíhání. </w:t>
      </w:r>
    </w:p>
    <w:p w:rsidR="00D56999" w:rsidRDefault="00D56999" w:rsidP="00D569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 w:cs="Times New Roman"/>
          <w:sz w:val="28"/>
          <w:lang w:eastAsia="cs-CZ"/>
        </w:rPr>
      </w:pPr>
      <w:r w:rsidRPr="00DF327C">
        <w:rPr>
          <w:rFonts w:eastAsiaTheme="minorEastAsia" w:cs="Times New Roman"/>
          <w:sz w:val="28"/>
          <w:lang w:eastAsia="cs-CZ"/>
        </w:rPr>
        <w:t xml:space="preserve">Škola se může obrátit s problémem rizikového chování žáka mimo OSPOD i na příslušné státní zastupitelství, které je oprávněno řešit případ rizikového chování žáka, a to v termínu kratším než  OSPOD a to dle zákona č. 292/2013 Sb., ve znění pozdějších předpisů. </w:t>
      </w:r>
    </w:p>
    <w:p w:rsidR="00DF327C" w:rsidRDefault="00DF327C" w:rsidP="00D569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 w:cs="Times New Roman"/>
          <w:sz w:val="28"/>
          <w:lang w:eastAsia="cs-CZ"/>
        </w:rPr>
      </w:pPr>
    </w:p>
    <w:p w:rsidR="00DF327C" w:rsidRPr="00DF327C" w:rsidRDefault="00DF327C" w:rsidP="00D569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 w:cs="Times New Roman"/>
          <w:sz w:val="28"/>
          <w:lang w:eastAsia="cs-CZ"/>
        </w:rPr>
      </w:pPr>
      <w:bookmarkStart w:id="1" w:name="_GoBack"/>
      <w:bookmarkEnd w:id="1"/>
    </w:p>
    <w:p w:rsidR="00D56999" w:rsidRPr="00DF327C" w:rsidRDefault="00D56999" w:rsidP="00D569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 w:cs="Times New Roman"/>
          <w:sz w:val="28"/>
          <w:lang w:eastAsia="cs-CZ"/>
        </w:rPr>
      </w:pPr>
      <w:r w:rsidRPr="00DF327C">
        <w:rPr>
          <w:rFonts w:eastAsiaTheme="minorEastAsia" w:cs="Times New Roman"/>
          <w:sz w:val="28"/>
          <w:lang w:eastAsia="cs-CZ"/>
        </w:rPr>
        <w:lastRenderedPageBreak/>
        <w:t>V případě opakovaného záškoláctví v průběhu školního roku, pokud již byli zákonní zástupci pravomocným rozhodnutím správního orgánu postiženi pro přestupek podle zákona č. 561/2004 Sb., ve znění pozdějších předpisů, nebo je-li neomluvená absence žáka příliš vysoká, následuje hlášení o zanedbání školní docházky Policii ČR.</w:t>
      </w:r>
    </w:p>
    <w:p w:rsidR="00D56999" w:rsidRPr="00DF327C" w:rsidRDefault="00D56999" w:rsidP="00D569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 w:cs="Times New Roman"/>
          <w:sz w:val="28"/>
          <w:lang w:eastAsia="cs-CZ"/>
        </w:rPr>
      </w:pPr>
      <w:r w:rsidRPr="00DF327C">
        <w:rPr>
          <w:rFonts w:eastAsiaTheme="minorEastAsia" w:cs="Times New Roman"/>
          <w:sz w:val="28"/>
          <w:lang w:eastAsia="cs-CZ"/>
        </w:rPr>
        <w:t xml:space="preserve">Trestní zákoník č. 40/2009 Sb., ve znění pozdějších předpisů se problému záškoláctví věnuje v Hlavě IV. Trestné činy proti rodině a dětem. Ohrožování výchovy žáka je specifikováno v § 201: Kdo, byť i z nedbalosti, ohrozí rozumový, citový nebo mravní vývoj žáka tím, že ho svádí k zahálčivému nebo nemravnému životu, umožní mu vést zahálčivý nebo nemravný život nebo závažným způsobem poruší svou povinnost o nezletilého pečovat nebo jinou svou důležitou povinnost vyplývající z rodičovské odpovědnosti, může být potrestán až na dvě léta. Pokud se zmiňovaného dopustí opakovaně nebo např. v páchání takového činu pokračuje delší dobu, trest může být uložen i vyšší – 6 měsíců až 5 let. Prošetřování a zjištění, zda byla naplněna skutková podstata přečinu, provádí Policie ČR a spolupracuje při tom se školou, OSPODem a případně s dalšími zainteresovanými institucemi, ke kterým patří i lékaři. Zpracovaný trestní spis pak předává okresnímu státnímu zastupitelství příslušnému podle místa trvalého bydliště žáka. V rámci trestního řízení může rozhodnout okresní státní zastupitelství již v přípravném řízení podmíněným zastavením trestního stíhání nebo pak rozhoduje soud trestním příkazem nebo může trestní stíhání obviněných pokračovat a soud nařizuje hlavní líčení. </w:t>
      </w:r>
    </w:p>
    <w:p w:rsidR="003718D8" w:rsidRDefault="003718D8"/>
    <w:sectPr w:rsidR="00371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99"/>
    <w:rsid w:val="003718D8"/>
    <w:rsid w:val="00D56999"/>
    <w:rsid w:val="00DF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969</Words>
  <Characters>5720</Characters>
  <Application>Microsoft Office Word</Application>
  <DocSecurity>0</DocSecurity>
  <Lines>47</Lines>
  <Paragraphs>13</Paragraphs>
  <ScaleCrop>false</ScaleCrop>
  <Company/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Kyselová</dc:creator>
  <cp:lastModifiedBy>Iva Kyselová</cp:lastModifiedBy>
  <cp:revision>3</cp:revision>
  <dcterms:created xsi:type="dcterms:W3CDTF">2021-03-04T10:17:00Z</dcterms:created>
  <dcterms:modified xsi:type="dcterms:W3CDTF">2021-03-05T10:44:00Z</dcterms:modified>
</cp:coreProperties>
</file>